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881454">
        <w:rPr>
          <w:rFonts w:ascii="Times New Roman" w:hAnsi="Times New Roman" w:cs="Times New Roman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sz w:val="21"/>
          <w:szCs w:val="21"/>
        </w:rPr>
        <w:t xml:space="preserve">   </w:t>
      </w:r>
      <w:r w:rsidR="008E3781">
        <w:rPr>
          <w:rFonts w:ascii="Times New Roman" w:hAnsi="Times New Roman" w:cs="Times New Roman"/>
          <w:sz w:val="21"/>
          <w:szCs w:val="21"/>
        </w:rPr>
        <w:t>HACI FERİDE KORUYUCU İLKOKULU</w:t>
      </w:r>
      <w:r w:rsidR="000C3B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w w:val="95"/>
          <w:sz w:val="21"/>
          <w:szCs w:val="21"/>
        </w:rPr>
        <w:t xml:space="preserve">  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E378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9A3D1F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9A3D1F">
              <w:rPr>
                <w:rFonts w:ascii="Times New Roman" w:hAnsi="Times New Roman" w:cs="Times New Roman"/>
                <w:w w:val="90"/>
                <w:sz w:val="21"/>
                <w:szCs w:val="21"/>
              </w:rPr>
              <w:t>2</w:t>
            </w:r>
            <w:r w:rsidR="00560496">
              <w:rPr>
                <w:rFonts w:ascii="Times New Roman" w:hAnsi="Times New Roman" w:cs="Times New Roman"/>
                <w:w w:val="90"/>
                <w:sz w:val="21"/>
                <w:szCs w:val="21"/>
              </w:rPr>
              <w:t>0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E378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201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="00E8081F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  <w:proofErr w:type="spellEnd"/>
            <w:r w:rsidR="00DD7B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42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E378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8E3781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eşyüz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8E378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T</w:t>
            </w:r>
            <w:r w:rsidR="009A3D1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r w:rsidR="008E3781">
              <w:rPr>
                <w:rFonts w:ascii="Times New Roman" w:hAnsi="Times New Roman" w:cs="Times New Roman"/>
                <w:sz w:val="21"/>
                <w:szCs w:val="21"/>
              </w:rPr>
              <w:t>Yüzyirmiyedibin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TL.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Elli</w:t>
            </w:r>
            <w:proofErr w:type="spellEnd"/>
            <w:r w:rsidR="00E8081F">
              <w:rPr>
                <w:rFonts w:ascii="Times New Roman" w:hAnsi="Times New Roman" w:cs="Times New Roman"/>
                <w:sz w:val="21"/>
                <w:szCs w:val="21"/>
              </w:rPr>
              <w:t xml:space="preserve"> 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E378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( 2886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8,5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617355" w:rsidRDefault="00A109DD" w:rsidP="00617355">
      <w:pPr>
        <w:pStyle w:val="ListeParagraf"/>
        <w:numPr>
          <w:ilvl w:val="1"/>
          <w:numId w:val="5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Üretici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Fiyatları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</w:t>
      </w:r>
      <w:r w:rsidR="00483EAD">
        <w:rPr>
          <w:rFonts w:ascii="Times New Roman" w:eastAsia="ヒラギノ明朝 Pro W3" w:hAnsi="Times New Roman" w:cs="Times New Roman"/>
          <w:sz w:val="21"/>
          <w:szCs w:val="21"/>
        </w:rPr>
        <w:t>T</w:t>
      </w:r>
      <w:r w:rsidRPr="002901BB">
        <w:rPr>
          <w:rFonts w:ascii="Times New Roman" w:eastAsia="ヒラギノ明朝 Pro W3" w:hAnsi="Times New Roman" w:cs="Times New Roman"/>
          <w:sz w:val="21"/>
          <w:szCs w:val="21"/>
        </w:rPr>
        <w:t>ÜFE-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oniki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aylık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ortalamalara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oranı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baz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alınarak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yapılan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artış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üzerinden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alınacaktır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6479A8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(8,5)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.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A33AE6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A33AE6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6479A8" w:rsidRPr="006479A8" w:rsidRDefault="006479A8" w:rsidP="00881454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  <w:sz w:val="21"/>
          <w:szCs w:val="21"/>
        </w:rPr>
      </w:pPr>
      <w:r w:rsidRPr="006479A8">
        <w:rPr>
          <w:rFonts w:ascii="Times New Roman" w:hAnsi="Times New Roman" w:cs="Times New Roman"/>
          <w:sz w:val="21"/>
          <w:szCs w:val="21"/>
        </w:rPr>
        <w:t>.</w:t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Başkan</w:t>
      </w:r>
      <w:r w:rsidR="00881454">
        <w:rPr>
          <w:rFonts w:ascii="Times New Roman" w:hAnsi="Times New Roman" w:cs="Times New Roman"/>
          <w:sz w:val="21"/>
          <w:szCs w:val="21"/>
        </w:rPr>
        <w:t>ı</w:t>
      </w:r>
      <w:proofErr w:type="spellEnd"/>
    </w:p>
    <w:p w:rsidR="008E7C8E" w:rsidRDefault="008E3781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Vasfiye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YILMAZ</w:t>
      </w:r>
      <w:r w:rsidR="00FA750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="002901BB"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E3781">
        <w:rPr>
          <w:rFonts w:ascii="Times New Roman" w:hAnsi="Times New Roman" w:cs="Times New Roman"/>
          <w:sz w:val="21"/>
          <w:szCs w:val="21"/>
        </w:rPr>
        <w:t>Süleyman</w:t>
      </w:r>
      <w:proofErr w:type="spellEnd"/>
      <w:r w:rsidR="008E3781">
        <w:rPr>
          <w:rFonts w:ascii="Times New Roman" w:hAnsi="Times New Roman" w:cs="Times New Roman"/>
          <w:sz w:val="21"/>
          <w:szCs w:val="21"/>
        </w:rPr>
        <w:t xml:space="preserve"> CİN</w:t>
      </w:r>
      <w:r w:rsidR="00483EAD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DA7"/>
    <w:rsid w:val="00023853"/>
    <w:rsid w:val="00040277"/>
    <w:rsid w:val="00047354"/>
    <w:rsid w:val="00047CC8"/>
    <w:rsid w:val="000C3B9A"/>
    <w:rsid w:val="002901BB"/>
    <w:rsid w:val="002A4295"/>
    <w:rsid w:val="002D04F4"/>
    <w:rsid w:val="003C6FA3"/>
    <w:rsid w:val="00404359"/>
    <w:rsid w:val="004521AD"/>
    <w:rsid w:val="004648EF"/>
    <w:rsid w:val="00483EAD"/>
    <w:rsid w:val="00484DD7"/>
    <w:rsid w:val="00560496"/>
    <w:rsid w:val="005725CF"/>
    <w:rsid w:val="005E0220"/>
    <w:rsid w:val="00617355"/>
    <w:rsid w:val="006479A8"/>
    <w:rsid w:val="00690C89"/>
    <w:rsid w:val="00773D6E"/>
    <w:rsid w:val="008145CC"/>
    <w:rsid w:val="00851DE0"/>
    <w:rsid w:val="008654B6"/>
    <w:rsid w:val="00881454"/>
    <w:rsid w:val="008E3781"/>
    <w:rsid w:val="008E7C8E"/>
    <w:rsid w:val="009A3D1F"/>
    <w:rsid w:val="009A51FD"/>
    <w:rsid w:val="00A109DD"/>
    <w:rsid w:val="00A33AE6"/>
    <w:rsid w:val="00A57331"/>
    <w:rsid w:val="00B230ED"/>
    <w:rsid w:val="00C2314A"/>
    <w:rsid w:val="00C56F63"/>
    <w:rsid w:val="00D32C93"/>
    <w:rsid w:val="00D62366"/>
    <w:rsid w:val="00DC6677"/>
    <w:rsid w:val="00DD7BE7"/>
    <w:rsid w:val="00DF5FF9"/>
    <w:rsid w:val="00E35016"/>
    <w:rsid w:val="00E8081F"/>
    <w:rsid w:val="00EB40B9"/>
    <w:rsid w:val="00F31F1C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C631-CD70-4C86-BE79-5E0F9BFF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2</cp:revision>
  <cp:lastPrinted>2019-08-26T07:57:00Z</cp:lastPrinted>
  <dcterms:created xsi:type="dcterms:W3CDTF">2019-08-29T05:14:00Z</dcterms:created>
  <dcterms:modified xsi:type="dcterms:W3CDTF">2019-08-29T05:14:00Z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